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9D855">
      <w:pPr>
        <w:spacing w:line="520" w:lineRule="exact"/>
        <w:rPr>
          <w:rFonts w:hint="eastAsia" w:ascii="黑体" w:hAnsi="华文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</w:p>
    <w:p w14:paraId="60B302AC">
      <w:pPr>
        <w:spacing w:before="312" w:beforeLines="100" w:after="312" w:afterLines="10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炎琥宁注射剂说明书修订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要求</w:t>
      </w:r>
    </w:p>
    <w:p w14:paraId="12E7B352">
      <w:pPr>
        <w:overflowPunct w:val="0"/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337185</wp:posOffset>
                </wp:positionV>
                <wp:extent cx="5727065" cy="723900"/>
                <wp:effectExtent l="9525" t="9525" r="16510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065" cy="74742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pt;margin-top:26.55pt;height:57pt;width:450.95pt;z-index:251659264;v-text-anchor:middle;mso-width-relative:page;mso-height-relative:page;" filled="f" stroked="t" coordsize="21600,21600" o:gfxdata="UEsDBAoAAAAAAIdO4kAAAAAAAAAAAAAAAAAEAAAAZHJzL1BLAwQUAAAACACHTuJAbddFK9oAAAAJ&#10;AQAADwAAAGRycy9kb3ducmV2LnhtbE2PS0/DMBCE70j8B2uRuLVOKPQR4lQ8xA1V0PbCbRObJMJe&#10;R7HTNv31bE9wHM1o5pt8fXJWHEwfWk8K0mkCwlDldUu1gv3ubbIEESKSRuvJKBhNgHVxfZVjpv2R&#10;Ps1hG2vBJRQyVNDE2GVShqoxDsPUd4bY+/a9w8iyr6Xu8cjlzsq7JJlLhy3xQoOdeWlM9bMdnAKH&#10;r7PzRznSuCvf9/b5a7M5Pw1K3d6kySOIaE7xLwwXfEaHgplKP5AOwiqY3POVqOBhloJgf7larECU&#10;HJwvUpBFLv8/KH4BUEsDBBQAAAAIAIdO4kBVJN9UYgIAAMIEAAAOAAAAZHJzL2Uyb0RvYy54bWyt&#10;VM1uEzEQviPxDpbvdJM0bWjUTRU1KkKqaKWCOE+8dtaS/xg72ZSXQeLGQ/RxEK/B2Lv9oXDogRyc&#10;Gc/4G8/nb/b0bG8N20mM2ruajw9GnEknfKPdpuafPl68ectZTOAaMN7Jmt/KyM8Wr1+ddmEuJ771&#10;ppHICMTFeRdq3qYU5lUVRSstxAMfpKOg8mghkYubqkHoCN2aajIaHVedxyagFzJG2l31QT4g4ksA&#10;vVJayJUXWytd6lFRGkjUUmx1iHxRbquUFOlKqSgTMzWnTlNZqQjZ67xWi1OYbxBCq8VwBXjJFZ71&#10;ZEE7KvoAtYIEbIv6LyirBfroVToQ3lZ9I4UR6mI8esbNTQtBll6I6hgeSI//D1Z82F0j003NDzlz&#10;YOnBf3378fPuOzvM3HQhzinlJlzj4EUyc6N7hTb/UwtsX/i8feBT7hMTtHk0m8xGx0ecCYrNprPp&#10;ZJJBq8fTAWN6J71l2ag50nsVGmF3GVOfep+Sizl/oY2hfZgbxzqS78noiJ5SAAlRkQDItIGaiW7D&#10;GZgNKVwkLJDRG93k4/l0xM363CDbQdZF+Q03+yMt115BbPu8EhrSjMswsihsuGrmqmcnW2vf3BKz&#10;6HvJxSAuNKFdQkzXgKQxujZNYbqiRRlPvfjB4qz1+PVf+zmfnp6inHWkWerzyxZQcmbeOxLFyXg6&#10;zSIvzpTYJwefRtZPI25rzz21P6Z5D6KYOT+Ze1Oht59pWJe5KoXACardMzo456mfJRp3IZfLkkbC&#10;DpAu3U0QGbx/t+U2eaXLkz6yQ1LIDkm7iGIYwzw7T/2S9fjpW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ddFK9oAAAAJAQAADwAAAAAAAAABACAAAAAiAAAAZHJzL2Rvd25yZXYueG1sUEsBAhQA&#10;FAAAAAgAh07iQFUk31RiAgAAwgQAAA4AAAAAAAAAAQAgAAAAKQEAAGRycy9lMm9Eb2MueG1sUEsF&#10;BgAAAAAGAAYAWQEAAP0FAAAAAA==&#10;">
                <v:fill on="f" focussize="0,0"/>
                <v:stroke weight="1.5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黑体"/>
          <w:sz w:val="32"/>
          <w:szCs w:val="32"/>
        </w:rPr>
        <w:t>一、增加警示语（增加黑框）</w:t>
      </w:r>
    </w:p>
    <w:p w14:paraId="227DDDCE">
      <w:pPr>
        <w:overflowPunct w:val="0"/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接受</w:t>
      </w:r>
      <w:r>
        <w:rPr>
          <w:rFonts w:hint="eastAsia" w:eastAsia="仿宋_GB2312"/>
          <w:sz w:val="32"/>
          <w:szCs w:val="32"/>
        </w:rPr>
        <w:t>本品</w:t>
      </w:r>
      <w:r>
        <w:rPr>
          <w:rFonts w:eastAsia="仿宋_GB2312"/>
          <w:sz w:val="32"/>
          <w:szCs w:val="32"/>
        </w:rPr>
        <w:t>治疗的患者有发生严重过敏反应的风险，包括过敏性休克，严重者可导致死亡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岁及以下儿童禁用本品。</w:t>
      </w:r>
    </w:p>
    <w:p w14:paraId="3F244A8E">
      <w:pPr>
        <w:overflowPunct w:val="0"/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、【不良反应】项下修订为以下内容</w:t>
      </w:r>
    </w:p>
    <w:p w14:paraId="32E32B46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上市后监测发现</w:t>
      </w:r>
      <w:r>
        <w:rPr>
          <w:rFonts w:hint="eastAsia" w:eastAsia="仿宋_GB2312"/>
          <w:kern w:val="0"/>
          <w:sz w:val="32"/>
          <w:szCs w:val="32"/>
        </w:rPr>
        <w:t>本品</w:t>
      </w:r>
      <w:r>
        <w:rPr>
          <w:rFonts w:hint="eastAsia" w:eastAsia="仿宋_GB2312"/>
          <w:kern w:val="0"/>
          <w:sz w:val="32"/>
          <w:szCs w:val="32"/>
          <w:lang w:val="zh-CN"/>
        </w:rPr>
        <w:t>有以下不良反应（发生率未知）：</w:t>
      </w:r>
    </w:p>
    <w:p w14:paraId="06C14CEE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皮肤及皮下组织：瘙痒、皮疹（包括斑丘疹、红斑、水疱、皮肤红肿等）、荨麻疹、过敏性皮炎、</w:t>
      </w:r>
      <w:r>
        <w:rPr>
          <w:rFonts w:hint="eastAsia" w:eastAsia="仿宋_GB2312"/>
          <w:kern w:val="0"/>
          <w:sz w:val="32"/>
          <w:szCs w:val="32"/>
        </w:rPr>
        <w:t>过敏性紫癜、</w:t>
      </w:r>
      <w:r>
        <w:rPr>
          <w:rFonts w:hint="eastAsia" w:eastAsia="仿宋_GB2312"/>
          <w:kern w:val="0"/>
          <w:sz w:val="32"/>
          <w:szCs w:val="32"/>
          <w:lang w:val="zh-CN"/>
        </w:rPr>
        <w:t>多形性红斑</w:t>
      </w:r>
      <w:r>
        <w:rPr>
          <w:rFonts w:eastAsia="仿宋_GB2312"/>
          <w:kern w:val="0"/>
          <w:sz w:val="32"/>
          <w:szCs w:val="32"/>
          <w:lang w:val="zh-CN"/>
        </w:rPr>
        <w:t>。</w:t>
      </w:r>
    </w:p>
    <w:p w14:paraId="162A1543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</w:rPr>
        <w:t>胃肠</w:t>
      </w:r>
      <w:r>
        <w:rPr>
          <w:rFonts w:hint="eastAsia" w:eastAsia="仿宋_GB2312"/>
          <w:kern w:val="0"/>
          <w:sz w:val="32"/>
          <w:szCs w:val="32"/>
          <w:lang w:val="zh-CN"/>
        </w:rPr>
        <w:t>系统：恶心、呕吐、腹痛、腹泻、腹胀、腹部不适、口干、</w:t>
      </w:r>
      <w:r>
        <w:rPr>
          <w:rFonts w:hint="eastAsia" w:eastAsia="仿宋_GB2312"/>
          <w:kern w:val="0"/>
          <w:sz w:val="32"/>
          <w:szCs w:val="32"/>
        </w:rPr>
        <w:t>口苦、</w:t>
      </w:r>
      <w:r>
        <w:rPr>
          <w:rFonts w:hint="eastAsia" w:eastAsia="仿宋_GB2312"/>
          <w:kern w:val="0"/>
          <w:sz w:val="32"/>
          <w:szCs w:val="32"/>
          <w:lang w:val="zh-CN"/>
        </w:rPr>
        <w:t>口唇麻木、消化不良。</w:t>
      </w:r>
    </w:p>
    <w:p w14:paraId="46809DAF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全身</w:t>
      </w:r>
      <w:r>
        <w:rPr>
          <w:rFonts w:hint="eastAsia" w:eastAsia="仿宋_GB2312"/>
          <w:kern w:val="0"/>
          <w:sz w:val="32"/>
          <w:szCs w:val="32"/>
        </w:rPr>
        <w:t>及给药部位反应</w:t>
      </w:r>
      <w:r>
        <w:rPr>
          <w:rFonts w:hint="eastAsia" w:eastAsia="仿宋_GB2312"/>
          <w:kern w:val="0"/>
          <w:sz w:val="32"/>
          <w:szCs w:val="32"/>
          <w:lang w:val="zh-CN"/>
        </w:rPr>
        <w:t>：寒战、发热、水肿（包括面部水肿、眼部水肿、口咽水肿、全身水肿</w:t>
      </w:r>
      <w:r>
        <w:rPr>
          <w:rFonts w:hint="eastAsia" w:eastAsia="仿宋_GB2312"/>
          <w:kern w:val="0"/>
          <w:sz w:val="32"/>
          <w:szCs w:val="32"/>
        </w:rPr>
        <w:t>等</w:t>
      </w:r>
      <w:r>
        <w:rPr>
          <w:rFonts w:hint="eastAsia" w:eastAsia="仿宋_GB2312"/>
          <w:kern w:val="0"/>
          <w:sz w:val="32"/>
          <w:szCs w:val="32"/>
          <w:lang w:val="zh-CN"/>
        </w:rPr>
        <w:t>）、注射部位反应（包括疼痛、瘙痒、皮疹、肿胀等）。</w:t>
      </w:r>
    </w:p>
    <w:p w14:paraId="55924709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免疫系统：过敏反应、类过敏反应、过敏性休克。</w:t>
      </w:r>
    </w:p>
    <w:p w14:paraId="24D220D9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呼吸系统：呼吸困难、</w:t>
      </w:r>
      <w:r>
        <w:rPr>
          <w:rFonts w:hint="eastAsia" w:eastAsia="仿宋_GB2312"/>
          <w:kern w:val="0"/>
          <w:sz w:val="32"/>
          <w:szCs w:val="32"/>
        </w:rPr>
        <w:t>胸部不适、</w:t>
      </w:r>
      <w:r>
        <w:rPr>
          <w:rFonts w:hint="eastAsia" w:eastAsia="仿宋_GB2312"/>
          <w:kern w:val="0"/>
          <w:sz w:val="32"/>
          <w:szCs w:val="32"/>
          <w:lang w:val="zh-CN"/>
        </w:rPr>
        <w:t>呼吸急促、咳嗽、窒息感、</w:t>
      </w:r>
      <w:r>
        <w:rPr>
          <w:rFonts w:hint="eastAsia" w:eastAsia="仿宋_GB2312"/>
          <w:kern w:val="0"/>
          <w:sz w:val="32"/>
          <w:szCs w:val="32"/>
        </w:rPr>
        <w:t>喉部不适、</w:t>
      </w:r>
      <w:r>
        <w:rPr>
          <w:rFonts w:hint="eastAsia" w:eastAsia="仿宋_GB2312"/>
          <w:kern w:val="0"/>
          <w:sz w:val="32"/>
          <w:szCs w:val="32"/>
          <w:lang w:val="zh-CN"/>
        </w:rPr>
        <w:t>喉水肿、口咽疼痛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0D802CC3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神经及精神：头晕、头痛、震颤、</w:t>
      </w:r>
      <w:r>
        <w:rPr>
          <w:rFonts w:hint="eastAsia" w:eastAsia="仿宋_GB2312"/>
          <w:kern w:val="0"/>
          <w:sz w:val="32"/>
          <w:szCs w:val="32"/>
        </w:rPr>
        <w:t>抽搐</w:t>
      </w:r>
      <w:r>
        <w:rPr>
          <w:rFonts w:hint="eastAsia" w:eastAsia="仿宋_GB2312"/>
          <w:kern w:val="0"/>
          <w:sz w:val="32"/>
          <w:szCs w:val="32"/>
          <w:lang w:val="zh-CN"/>
        </w:rPr>
        <w:t>、嗜睡、烦躁不安、意识模糊、晕厥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6DA17F36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心血管系统</w:t>
      </w:r>
      <w:r>
        <w:rPr>
          <w:rFonts w:hint="eastAsia" w:eastAsia="仿宋_GB2312"/>
          <w:kern w:val="0"/>
          <w:sz w:val="32"/>
          <w:szCs w:val="32"/>
          <w:lang w:val="zh-CN"/>
        </w:rPr>
        <w:t>：心悸、心动过速、</w:t>
      </w:r>
      <w:r>
        <w:rPr>
          <w:rFonts w:hint="eastAsia" w:eastAsia="仿宋_GB2312"/>
          <w:kern w:val="0"/>
          <w:sz w:val="32"/>
          <w:szCs w:val="32"/>
        </w:rPr>
        <w:t>潮红、</w:t>
      </w:r>
      <w:r>
        <w:rPr>
          <w:rFonts w:hint="eastAsia" w:eastAsia="仿宋_GB2312"/>
          <w:kern w:val="0"/>
          <w:sz w:val="32"/>
          <w:szCs w:val="32"/>
          <w:lang w:val="zh-CN"/>
        </w:rPr>
        <w:t>紫绀、静脉炎、</w:t>
      </w:r>
      <w:r>
        <w:rPr>
          <w:rFonts w:hint="eastAsia" w:eastAsia="仿宋_GB2312"/>
          <w:kern w:val="0"/>
          <w:sz w:val="32"/>
          <w:szCs w:val="32"/>
        </w:rPr>
        <w:t>血压下降。</w:t>
      </w:r>
    </w:p>
    <w:p w14:paraId="1C4FF95A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眼部：视觉损害、视物模糊</w:t>
      </w:r>
      <w:r>
        <w:rPr>
          <w:rFonts w:hint="eastAsia" w:eastAsia="仿宋_GB2312"/>
          <w:kern w:val="0"/>
          <w:sz w:val="32"/>
          <w:szCs w:val="32"/>
          <w:lang w:val="zh-CN"/>
        </w:rPr>
        <w:t>。</w:t>
      </w:r>
    </w:p>
    <w:p w14:paraId="2EF90E00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血液系统：血小板减少、白细胞减少、粒细胞减少。</w:t>
      </w:r>
    </w:p>
    <w:p w14:paraId="317DE663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其他：</w:t>
      </w:r>
      <w:r>
        <w:rPr>
          <w:rFonts w:hint="eastAsia" w:eastAsia="仿宋_GB2312"/>
          <w:kern w:val="0"/>
          <w:sz w:val="32"/>
          <w:szCs w:val="32"/>
        </w:rPr>
        <w:t>肝功能异常、肌痛、</w:t>
      </w:r>
      <w:r>
        <w:rPr>
          <w:rFonts w:hint="eastAsia" w:eastAsia="仿宋_GB2312"/>
          <w:kern w:val="0"/>
          <w:sz w:val="32"/>
          <w:szCs w:val="32"/>
          <w:lang w:val="zh-CN"/>
        </w:rPr>
        <w:t>关节痛、</w:t>
      </w:r>
      <w:r>
        <w:rPr>
          <w:rFonts w:hint="eastAsia" w:eastAsia="仿宋_GB2312"/>
          <w:kern w:val="0"/>
          <w:sz w:val="32"/>
          <w:szCs w:val="32"/>
        </w:rPr>
        <w:t>耳鸣、排尿困难。</w:t>
      </w:r>
    </w:p>
    <w:p w14:paraId="5CBF2006">
      <w:pPr>
        <w:autoSpaceDE/>
        <w:autoSpaceDN/>
        <w:adjustRightIn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、【禁忌】项应包含以下内容</w:t>
      </w:r>
    </w:p>
    <w:p w14:paraId="77498E5F">
      <w:pPr>
        <w:autoSpaceDE/>
        <w:autoSpaceDN/>
        <w:adjustRightInd w:val="0"/>
        <w:spacing w:line="52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1.对本品及所含成分过敏者禁用。</w:t>
      </w:r>
    </w:p>
    <w:p w14:paraId="47C41A6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2.</w:t>
      </w:r>
      <w:r>
        <w:rPr>
          <w:rFonts w:hint="eastAsia" w:eastAsia="仿宋_GB2312"/>
          <w:sz w:val="32"/>
          <w:szCs w:val="32"/>
        </w:rPr>
        <w:t>孕妇禁用。</w:t>
      </w:r>
    </w:p>
    <w:p w14:paraId="06B5B7A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3.6岁及以下儿童禁用。</w:t>
      </w:r>
    </w:p>
    <w:p w14:paraId="33D14A00">
      <w:pPr>
        <w:numPr>
          <w:ilvl w:val="0"/>
          <w:numId w:val="1"/>
        </w:numPr>
        <w:overflowPunct w:val="0"/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【</w:t>
      </w:r>
      <w:r>
        <w:rPr>
          <w:rFonts w:hint="eastAsia" w:eastAsia="黑体"/>
          <w:sz w:val="32"/>
          <w:szCs w:val="32"/>
        </w:rPr>
        <w:t>注意事项</w:t>
      </w:r>
      <w:r>
        <w:rPr>
          <w:rFonts w:eastAsia="黑体"/>
          <w:sz w:val="32"/>
          <w:szCs w:val="32"/>
        </w:rPr>
        <w:t>】项</w:t>
      </w:r>
      <w:r>
        <w:rPr>
          <w:rFonts w:hint="eastAsia" w:eastAsia="黑体"/>
          <w:sz w:val="32"/>
          <w:szCs w:val="32"/>
        </w:rPr>
        <w:t>应包含以下内容</w:t>
      </w:r>
    </w:p>
    <w:p w14:paraId="4B73FBF7">
      <w:pPr>
        <w:overflowPunct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本品有</w:t>
      </w:r>
      <w:r>
        <w:rPr>
          <w:rFonts w:eastAsia="仿宋_GB2312"/>
          <w:sz w:val="32"/>
          <w:szCs w:val="32"/>
        </w:rPr>
        <w:t>发生严重过敏反应的风险，包括过敏性休克，严重者可导致死亡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建议在有抢救条件的医疗机构使用，</w:t>
      </w:r>
      <w:r>
        <w:rPr>
          <w:rFonts w:hint="eastAsia" w:eastAsia="仿宋_GB2312"/>
          <w:sz w:val="32"/>
          <w:szCs w:val="32"/>
        </w:rPr>
        <w:t>用药前应仔细询问患者情况、用药史和过敏史。在给药期间应对患者密切观察，</w:t>
      </w:r>
      <w:r>
        <w:rPr>
          <w:rFonts w:eastAsia="仿宋_GB2312"/>
          <w:sz w:val="32"/>
          <w:szCs w:val="32"/>
        </w:rPr>
        <w:t>一旦</w:t>
      </w:r>
      <w:r>
        <w:rPr>
          <w:rFonts w:hint="eastAsia" w:eastAsia="仿宋_GB2312"/>
          <w:sz w:val="32"/>
          <w:szCs w:val="32"/>
        </w:rPr>
        <w:t>发生严重过敏反应如出现</w:t>
      </w:r>
      <w:r>
        <w:rPr>
          <w:rFonts w:eastAsia="仿宋_GB2312"/>
          <w:sz w:val="32"/>
          <w:szCs w:val="32"/>
        </w:rPr>
        <w:t>呼吸困难、血压下降、意识丧失</w:t>
      </w:r>
      <w:r>
        <w:rPr>
          <w:rFonts w:hint="eastAsia" w:eastAsia="仿宋_GB2312"/>
          <w:sz w:val="32"/>
          <w:szCs w:val="32"/>
        </w:rPr>
        <w:t>等症状和体征</w:t>
      </w:r>
      <w:r>
        <w:rPr>
          <w:rFonts w:eastAsia="仿宋_GB2312"/>
          <w:sz w:val="32"/>
          <w:szCs w:val="32"/>
        </w:rPr>
        <w:t>，应立即停药，并采取适当的紧急救治措施</w:t>
      </w:r>
      <w:r>
        <w:rPr>
          <w:rFonts w:hint="eastAsia" w:eastAsia="仿宋_GB2312"/>
          <w:sz w:val="32"/>
          <w:szCs w:val="32"/>
        </w:rPr>
        <w:t>。</w:t>
      </w:r>
    </w:p>
    <w:p w14:paraId="0D7DD4A1">
      <w:pPr>
        <w:overflowPunct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2.本品应单独使用，</w:t>
      </w:r>
      <w:r>
        <w:rPr>
          <w:rFonts w:eastAsia="仿宋_GB2312"/>
          <w:sz w:val="32"/>
          <w:szCs w:val="32"/>
        </w:rPr>
        <w:t>不宜与其他药品配伍使用</w:t>
      </w:r>
      <w:r>
        <w:rPr>
          <w:rFonts w:hint="eastAsia" w:eastAsia="仿宋_GB2312"/>
          <w:sz w:val="32"/>
          <w:szCs w:val="32"/>
        </w:rPr>
        <w:t>。与其他药品序贯使用时应</w:t>
      </w:r>
      <w:r>
        <w:rPr>
          <w:rFonts w:eastAsia="仿宋_GB2312"/>
          <w:sz w:val="32"/>
          <w:szCs w:val="32"/>
        </w:rPr>
        <w:t>更换输液器</w:t>
      </w:r>
      <w:r>
        <w:rPr>
          <w:rFonts w:hint="eastAsia" w:eastAsia="仿宋_GB2312"/>
          <w:sz w:val="32"/>
          <w:szCs w:val="32"/>
        </w:rPr>
        <w:t>。</w:t>
      </w:r>
    </w:p>
    <w:p w14:paraId="75854B40">
      <w:pPr>
        <w:overflowPunct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3.本品有与10%葡萄糖注射液配伍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出现</w:t>
      </w:r>
      <w:r>
        <w:rPr>
          <w:rFonts w:eastAsia="仿宋_GB2312"/>
          <w:sz w:val="32"/>
          <w:szCs w:val="32"/>
        </w:rPr>
        <w:t>混浊</w:t>
      </w:r>
      <w:r>
        <w:rPr>
          <w:rFonts w:hint="eastAsia" w:eastAsia="仿宋_GB2312"/>
          <w:sz w:val="32"/>
          <w:szCs w:val="32"/>
        </w:rPr>
        <w:t>的报告，避免配伍使用</w:t>
      </w:r>
      <w:r>
        <w:rPr>
          <w:rFonts w:eastAsia="仿宋_GB2312"/>
          <w:sz w:val="32"/>
          <w:szCs w:val="32"/>
        </w:rPr>
        <w:t>。</w:t>
      </w:r>
    </w:p>
    <w:p w14:paraId="5DCC0FEE">
      <w:pPr>
        <w:overflowPunct w:val="0"/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五、【儿童用药】项应包含以下内容</w:t>
      </w:r>
    </w:p>
    <w:p w14:paraId="49626076"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岁及以下儿童禁用。</w:t>
      </w:r>
    </w:p>
    <w:p w14:paraId="4F2B09B6">
      <w:pPr>
        <w:overflowPunct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FD7FA46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注：如原批准说明书的安全性内容较本修订要求内容更全面或更严格的，应当保留原批准内容。说明书其他内容如与上述修订要求不一致的，应当一并进行修订。</w:t>
      </w:r>
    </w:p>
    <w:p w14:paraId="344804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9DBA2"/>
    <w:multiLevelType w:val="singleLevel"/>
    <w:tmpl w:val="0509DB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F4A53"/>
    <w:rsid w:val="3E020580"/>
    <w:rsid w:val="62C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838</Characters>
  <Lines>0</Lines>
  <Paragraphs>0</Paragraphs>
  <TotalTime>0</TotalTime>
  <ScaleCrop>false</ScaleCrop>
  <LinksUpToDate>false</LinksUpToDate>
  <CharactersWithSpaces>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2025-03-13T09:46:00Z</dcterms:created>
  <dc:creator>新祺</dc:creator>
  <cp:lastModifiedBy>.</cp:lastModifiedBy>
  <dcterms:modified xsi:type="dcterms:W3CDTF">2025-03-17T01:24:05Z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63C940CEEF5E4CB9AE50980D2D2355CC_13</vt:lpwstr>
  </property>
  <property fmtid="{D5CDD505-2E9C-101B-9397-08002B2CF9AE}" pid="4" name="KSOTemplateDocerSaveRecord">
    <vt:lpwstr>eyJoZGlkIjoiYmYxNDY5MThhYWI0ZjJiYzliMmIyNmE0YjVlOWYxZDUiLCJ1c2VySWQiOiIyNzgyMDExNzcifQ==</vt:lpwstr>
  </property>
</Properties>
</file>